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C1917"/>
          <w:sz w:val="36"/>
        </w:rPr>
        <w:t>Harmonogram stavby (příloha smlouvy o dílo)</w:t>
      </w:r>
    </w:p>
    <w:p>
      <w:r>
        <w:rPr>
          <w:color w:val="6B635C"/>
          <w:sz w:val="18"/>
        </w:rPr>
        <w:t>Vzor stavbadenik.cz · ke stažení zdarma · etapy, milníky kontrol před zakrytím (§ 2626 OZ) a platební milníky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</w:tcPr>
          <w:p>
            <w:r>
              <w:rPr>
                <w:b/>
                <w:sz w:val="20"/>
              </w:rPr>
              <w:t>Stavba (název dle povolení)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Smlouva o dílo č. / ze dne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Objednatel (stavebník)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Zhotovitel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Termín předání staveniště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Smluvní termín dokončení a předání díla</w:t>
            </w:r>
          </w:p>
        </w:tc>
        <w:tc>
          <w:tcPr>
            <w:tcW w:type="dxa" w:w="6520"/>
          </w:tcPr>
          <w:p>
            <w:r/>
          </w:p>
        </w:tc>
      </w:tr>
    </w:tbl>
    <w:p/>
    <w:p>
      <w:r>
        <w:rPr>
          <w:b/>
          <w:color w:val="B8461F"/>
          <w:sz w:val="24"/>
        </w:rPr>
        <w:t>1. Časový postup prací a uzlové body (etapy)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</w:tcPr>
          <w:p>
            <w:r>
              <w:rPr>
                <w:b/>
                <w:sz w:val="18"/>
              </w:rPr>
              <w:t>Č.</w:t>
            </w:r>
          </w:p>
        </w:tc>
        <w:tc>
          <w:tcPr>
            <w:tcW w:type="dxa" w:w="1994"/>
          </w:tcPr>
          <w:p>
            <w:r>
              <w:rPr>
                <w:b/>
                <w:sz w:val="18"/>
              </w:rPr>
              <w:t>Etapa / stavební oddíl</w:t>
            </w:r>
          </w:p>
        </w:tc>
        <w:tc>
          <w:tcPr>
            <w:tcW w:type="dxa" w:w="1994"/>
          </w:tcPr>
          <w:p>
            <w:r>
              <w:rPr>
                <w:b/>
                <w:sz w:val="18"/>
              </w:rPr>
              <w:t>Zahájení</w:t>
            </w:r>
          </w:p>
        </w:tc>
        <w:tc>
          <w:tcPr>
            <w:tcW w:type="dxa" w:w="1994"/>
          </w:tcPr>
          <w:p>
            <w:r>
              <w:rPr>
                <w:b/>
                <w:sz w:val="18"/>
              </w:rPr>
              <w:t>Dokončení</w:t>
            </w:r>
          </w:p>
        </w:tc>
        <w:tc>
          <w:tcPr>
            <w:tcW w:type="dxa" w:w="1994"/>
          </w:tcPr>
          <w:p>
            <w:r>
              <w:rPr>
                <w:b/>
                <w:sz w:val="18"/>
              </w:rPr>
              <w:t>Kontrola / milník (TDS, SÚ, zakrytí)</w:t>
            </w:r>
          </w:p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</w:tbl>
    <w:p/>
    <w:p>
      <w:r>
        <w:rPr>
          <w:b/>
          <w:color w:val="B8461F"/>
          <w:sz w:val="24"/>
        </w:rPr>
        <w:t>2. Fáze ohlašované stavebnímu úřadu a kontroly před zakrytím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  <w:sz w:val="18"/>
              </w:rPr>
              <w:t>Fáze / konstrukce</w:t>
            </w:r>
          </w:p>
        </w:tc>
        <w:tc>
          <w:tcPr>
            <w:tcW w:type="dxa" w:w="2493"/>
          </w:tcPr>
          <w:p>
            <w:r>
              <w:rPr>
                <w:b/>
                <w:sz w:val="18"/>
              </w:rPr>
              <w:t>Lhůta pro výzvu předem</w:t>
            </w:r>
          </w:p>
        </w:tc>
        <w:tc>
          <w:tcPr>
            <w:tcW w:type="dxa" w:w="2493"/>
          </w:tcPr>
          <w:p>
            <w:r>
              <w:rPr>
                <w:b/>
                <w:sz w:val="18"/>
              </w:rPr>
              <w:t>Kdo kontroluje (TDS / AD / SÚ)</w:t>
            </w:r>
          </w:p>
        </w:tc>
        <w:tc>
          <w:tcPr>
            <w:tcW w:type="dxa" w:w="2493"/>
          </w:tcPr>
          <w:p>
            <w:r>
              <w:rPr>
                <w:b/>
                <w:sz w:val="18"/>
              </w:rPr>
              <w:t>Předpokládaný termín</w:t>
            </w:r>
          </w:p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</w:tbl>
    <w:p/>
    <w:p>
      <w:r>
        <w:rPr>
          <w:b/>
          <w:color w:val="B8461F"/>
          <w:sz w:val="24"/>
        </w:rPr>
        <w:t>3. Pravidla aktualizace harmonogramu a záznamu odchylek</w:t>
      </w:r>
    </w:p>
    <w:p>
      <w:pPr>
        <w:spacing w:after="120"/>
      </w:pPr>
      <w:r>
        <w:t>Skutečný časový postup prací a případné překážky na staveništi zapisuje stavbyvedoucí denně do stavebního deníku (příloha č. 12 vyhlášky č. 131/2024 Sb.). Posun uzlového bodu s dopadem na konečný termín plnění vyžaduje písemný změnový list odsouhlasený oběma stranami.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pPr>
              <w:jc w:val="center"/>
            </w:pPr>
            <w:r>
              <w:br/>
              <w:br/>
              <w:t>____________________________</w:t>
            </w:r>
          </w:p>
        </w:tc>
        <w:tc>
          <w:tcPr>
            <w:tcW w:type="dxa" w:w="3324"/>
          </w:tcPr>
          <w:p>
            <w:pPr>
              <w:jc w:val="center"/>
            </w:pPr>
            <w:r>
              <w:br/>
              <w:br/>
              <w:t>____________________________</w:t>
            </w:r>
          </w:p>
        </w:tc>
        <w:tc>
          <w:tcPr>
            <w:tcW w:type="dxa" w:w="3324"/>
          </w:tcPr>
          <w:p>
            <w:pPr>
              <w:jc w:val="center"/>
            </w:pPr>
            <w:r>
              <w:br/>
              <w:br/>
              <w:t>____________________________</w:t>
            </w:r>
          </w:p>
        </w:tc>
      </w:tr>
      <w:tr>
        <w:tc>
          <w:tcPr>
            <w:tcW w:type="dxa" w:w="3324"/>
          </w:tcPr>
          <w:p>
            <w:pPr>
              <w:jc w:val="center"/>
            </w:pPr>
            <w:r>
              <w:rPr>
                <w:color w:val="6B635C"/>
                <w:sz w:val="18"/>
              </w:rPr>
              <w:t>Za objednatele (stavebníka)</w:t>
            </w:r>
          </w:p>
        </w:tc>
        <w:tc>
          <w:tcPr>
            <w:tcW w:type="dxa" w:w="3324"/>
          </w:tcPr>
          <w:p>
            <w:pPr>
              <w:jc w:val="center"/>
            </w:pPr>
            <w:r>
              <w:rPr>
                <w:color w:val="6B635C"/>
                <w:sz w:val="18"/>
              </w:rPr>
              <w:t>Za zhotovitele</w:t>
            </w:r>
          </w:p>
        </w:tc>
        <w:tc>
          <w:tcPr>
            <w:tcW w:type="dxa" w:w="3324"/>
          </w:tcPr>
          <w:p>
            <w:pPr>
              <w:jc w:val="center"/>
            </w:pPr>
            <w:r>
              <w:rPr>
                <w:color w:val="6B635C"/>
                <w:sz w:val="18"/>
              </w:rPr>
              <w:t>Technický dozor stavebníka</w:t>
            </w:r>
          </w:p>
        </w:tc>
      </w:tr>
    </w:tbl>
    <w:p/>
    <w:p>
      <w:r>
        <w:rPr>
          <w:color w:val="6B635C"/>
          <w:sz w:val="16"/>
        </w:rPr>
        <w:t>Vzor zdarma ze stavbadenik.cz/vzory/harmonogram-stavby. Orientační vzor, nenahrazuje právní poradenství ani smlouvu o dílo.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